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5453" w:type="dxa"/>
        <w:tblInd w:w="-176" w:type="dxa"/>
        <w:tblLook w:val="04A0" w:firstRow="1" w:lastRow="0" w:firstColumn="1" w:lastColumn="0" w:noHBand="0" w:noVBand="1"/>
      </w:tblPr>
      <w:tblGrid>
        <w:gridCol w:w="710"/>
        <w:gridCol w:w="1275"/>
        <w:gridCol w:w="4962"/>
        <w:gridCol w:w="5954"/>
        <w:gridCol w:w="2552"/>
      </w:tblGrid>
      <w:tr w:rsidR="00AD68F0" w:rsidRPr="002E320A" w:rsidTr="0072553F">
        <w:trPr>
          <w:trHeight w:val="450"/>
        </w:trPr>
        <w:tc>
          <w:tcPr>
            <w:tcW w:w="15453" w:type="dxa"/>
            <w:gridSpan w:val="5"/>
            <w:tcBorders>
              <w:top w:val="nil"/>
              <w:left w:val="nil"/>
              <w:bottom w:val="nil"/>
              <w:right w:val="nil"/>
            </w:tcBorders>
            <w:noWrap/>
            <w:vAlign w:val="center"/>
            <w:hideMark/>
          </w:tcPr>
          <w:p w:rsidR="00AD68F0" w:rsidRPr="002E320A" w:rsidRDefault="00AD68F0" w:rsidP="0072553F">
            <w:pPr>
              <w:spacing w:line="560" w:lineRule="exact"/>
              <w:jc w:val="center"/>
              <w:rPr>
                <w:rFonts w:ascii="宋体" w:eastAsia="宋体" w:hAnsi="宋体" w:cs="宋体"/>
                <w:b/>
                <w:bCs/>
                <w:color w:val="000000"/>
                <w:sz w:val="36"/>
                <w:szCs w:val="36"/>
              </w:rPr>
            </w:pPr>
            <w:r w:rsidRPr="002E320A">
              <w:rPr>
                <w:rFonts w:ascii="宋体" w:eastAsia="宋体" w:hAnsi="宋体" w:cs="宋体" w:hint="eastAsia"/>
                <w:b/>
                <w:bCs/>
                <w:color w:val="000000"/>
                <w:sz w:val="36"/>
                <w:szCs w:val="36"/>
              </w:rPr>
              <w:t>统计与数学学院指导老师选题一览</w:t>
            </w:r>
          </w:p>
        </w:tc>
      </w:tr>
      <w:tr w:rsidR="00AD68F0" w:rsidRPr="002E320A" w:rsidTr="0072553F">
        <w:trPr>
          <w:trHeight w:val="440"/>
        </w:trPr>
        <w:tc>
          <w:tcPr>
            <w:tcW w:w="710" w:type="dxa"/>
            <w:tcBorders>
              <w:top w:val="single" w:sz="4" w:space="0" w:color="auto"/>
            </w:tcBorders>
            <w:noWrap/>
            <w:vAlign w:val="center"/>
            <w:hideMark/>
          </w:tcPr>
          <w:p w:rsidR="00AD68F0" w:rsidRPr="002E320A" w:rsidRDefault="00AD68F0" w:rsidP="0072553F">
            <w:pPr>
              <w:spacing w:line="300" w:lineRule="exact"/>
              <w:jc w:val="center"/>
              <w:rPr>
                <w:rFonts w:ascii="仿宋_GB2312" w:eastAsia="仿宋_GB2312" w:hAnsi="宋体" w:cs="宋体"/>
                <w:b/>
                <w:bCs/>
                <w:color w:val="000000"/>
                <w:szCs w:val="21"/>
              </w:rPr>
            </w:pPr>
            <w:r w:rsidRPr="002E320A">
              <w:rPr>
                <w:rFonts w:ascii="仿宋_GB2312" w:eastAsia="仿宋_GB2312" w:hAnsi="宋体" w:cs="宋体" w:hint="eastAsia"/>
                <w:b/>
                <w:bCs/>
                <w:color w:val="000000"/>
                <w:szCs w:val="21"/>
              </w:rPr>
              <w:t>序号</w:t>
            </w:r>
          </w:p>
        </w:tc>
        <w:tc>
          <w:tcPr>
            <w:tcW w:w="1275" w:type="dxa"/>
            <w:tcBorders>
              <w:top w:val="single" w:sz="4" w:space="0" w:color="auto"/>
            </w:tcBorders>
            <w:noWrap/>
            <w:vAlign w:val="center"/>
            <w:hideMark/>
          </w:tcPr>
          <w:p w:rsidR="00AD68F0" w:rsidRPr="002E320A" w:rsidRDefault="00AD68F0" w:rsidP="0072553F">
            <w:pPr>
              <w:spacing w:line="300" w:lineRule="exact"/>
              <w:jc w:val="center"/>
              <w:rPr>
                <w:rFonts w:ascii="仿宋_GB2312" w:eastAsia="仿宋_GB2312" w:hAnsi="宋体" w:cs="宋体"/>
                <w:b/>
                <w:bCs/>
                <w:color w:val="000000"/>
                <w:szCs w:val="21"/>
              </w:rPr>
            </w:pPr>
            <w:r w:rsidRPr="002E320A">
              <w:rPr>
                <w:rFonts w:ascii="仿宋_GB2312" w:eastAsia="仿宋_GB2312" w:hAnsi="宋体" w:cs="宋体" w:hint="eastAsia"/>
                <w:b/>
                <w:bCs/>
                <w:color w:val="000000"/>
                <w:szCs w:val="21"/>
              </w:rPr>
              <w:t>指导老师</w:t>
            </w:r>
          </w:p>
        </w:tc>
        <w:tc>
          <w:tcPr>
            <w:tcW w:w="4962" w:type="dxa"/>
            <w:tcBorders>
              <w:top w:val="single" w:sz="4" w:space="0" w:color="auto"/>
            </w:tcBorders>
            <w:noWrap/>
            <w:vAlign w:val="center"/>
            <w:hideMark/>
          </w:tcPr>
          <w:p w:rsidR="00AD68F0" w:rsidRPr="002E320A" w:rsidRDefault="00AD68F0" w:rsidP="0072553F">
            <w:pPr>
              <w:spacing w:line="300" w:lineRule="exact"/>
              <w:jc w:val="center"/>
              <w:rPr>
                <w:rFonts w:ascii="仿宋_GB2312" w:eastAsia="仿宋_GB2312" w:hAnsi="宋体" w:cs="宋体"/>
                <w:b/>
                <w:bCs/>
                <w:color w:val="000000"/>
                <w:szCs w:val="21"/>
              </w:rPr>
            </w:pPr>
            <w:r w:rsidRPr="002E320A">
              <w:rPr>
                <w:rFonts w:ascii="仿宋_GB2312" w:eastAsia="仿宋_GB2312" w:hAnsi="宋体" w:cs="宋体" w:hint="eastAsia"/>
                <w:b/>
                <w:bCs/>
                <w:color w:val="000000"/>
                <w:szCs w:val="21"/>
              </w:rPr>
              <w:t>选题</w:t>
            </w:r>
          </w:p>
        </w:tc>
        <w:tc>
          <w:tcPr>
            <w:tcW w:w="5954" w:type="dxa"/>
            <w:tcBorders>
              <w:top w:val="single" w:sz="4" w:space="0" w:color="auto"/>
            </w:tcBorders>
            <w:noWrap/>
            <w:vAlign w:val="center"/>
            <w:hideMark/>
          </w:tcPr>
          <w:p w:rsidR="00AD68F0" w:rsidRPr="002E320A" w:rsidRDefault="00AD68F0" w:rsidP="0072553F">
            <w:pPr>
              <w:spacing w:line="300" w:lineRule="exact"/>
              <w:jc w:val="center"/>
              <w:rPr>
                <w:rFonts w:ascii="仿宋_GB2312" w:eastAsia="仿宋_GB2312" w:hAnsi="宋体" w:cs="宋体"/>
                <w:b/>
                <w:bCs/>
                <w:color w:val="000000"/>
                <w:szCs w:val="21"/>
              </w:rPr>
            </w:pPr>
            <w:r w:rsidRPr="002E320A">
              <w:rPr>
                <w:rFonts w:ascii="仿宋_GB2312" w:eastAsia="仿宋_GB2312" w:hAnsi="宋体" w:cs="宋体" w:hint="eastAsia"/>
                <w:b/>
                <w:bCs/>
                <w:color w:val="000000"/>
                <w:szCs w:val="21"/>
              </w:rPr>
              <w:t>说明</w:t>
            </w:r>
          </w:p>
        </w:tc>
        <w:tc>
          <w:tcPr>
            <w:tcW w:w="2552" w:type="dxa"/>
            <w:tcBorders>
              <w:top w:val="single" w:sz="4" w:space="0" w:color="auto"/>
            </w:tcBorders>
            <w:noWrap/>
            <w:vAlign w:val="center"/>
            <w:hideMark/>
          </w:tcPr>
          <w:p w:rsidR="00AD68F0" w:rsidRPr="002E320A" w:rsidRDefault="00AD68F0" w:rsidP="0072553F">
            <w:pPr>
              <w:spacing w:line="300" w:lineRule="exact"/>
              <w:jc w:val="center"/>
              <w:rPr>
                <w:rFonts w:ascii="仿宋_GB2312" w:eastAsia="仿宋_GB2312" w:hAnsi="宋体" w:cs="宋体"/>
                <w:b/>
                <w:bCs/>
                <w:color w:val="000000"/>
                <w:szCs w:val="21"/>
              </w:rPr>
            </w:pPr>
            <w:r w:rsidRPr="002E320A">
              <w:rPr>
                <w:rFonts w:ascii="仿宋_GB2312" w:eastAsia="仿宋_GB2312" w:hAnsi="宋体" w:cs="宋体" w:hint="eastAsia"/>
                <w:b/>
                <w:bCs/>
                <w:color w:val="000000"/>
                <w:szCs w:val="21"/>
              </w:rPr>
              <w:t>电子邮箱</w:t>
            </w: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1</w:t>
            </w:r>
          </w:p>
        </w:tc>
        <w:tc>
          <w:tcPr>
            <w:tcW w:w="1275" w:type="dxa"/>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陈蔼祥</w:t>
            </w: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粤港澳大湾区跨海大桥建设对区域社会经济发展影响的统计学分析</w:t>
            </w:r>
          </w:p>
        </w:tc>
        <w:tc>
          <w:tcPr>
            <w:tcW w:w="5954"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2552"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77638164@qq.com</w:t>
            </w: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2</w:t>
            </w:r>
          </w:p>
        </w:tc>
        <w:tc>
          <w:tcPr>
            <w:tcW w:w="1275" w:type="dxa"/>
            <w:vMerge w:val="restart"/>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roofErr w:type="gramStart"/>
            <w:r w:rsidRPr="002E320A">
              <w:rPr>
                <w:rFonts w:ascii="仿宋_GB2312" w:eastAsia="仿宋_GB2312" w:hAnsi="宋体" w:cs="宋体" w:hint="eastAsia"/>
                <w:color w:val="000000"/>
                <w:szCs w:val="21"/>
              </w:rPr>
              <w:t>张宇山</w:t>
            </w:r>
            <w:proofErr w:type="gramEnd"/>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空气质量评价的多指标分类预测模型</w:t>
            </w:r>
          </w:p>
        </w:tc>
        <w:tc>
          <w:tcPr>
            <w:tcW w:w="5954"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2552" w:type="dxa"/>
            <w:vMerge w:val="restart"/>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11246687@qq.com</w:t>
            </w: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3</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人口老龄化对经济潜在产出水平的影响</w:t>
            </w:r>
          </w:p>
        </w:tc>
        <w:tc>
          <w:tcPr>
            <w:tcW w:w="5954"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4</w:t>
            </w:r>
          </w:p>
        </w:tc>
        <w:tc>
          <w:tcPr>
            <w:tcW w:w="1275" w:type="dxa"/>
            <w:vMerge w:val="restart"/>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邹战勇</w:t>
            </w: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粤港澳大湾区金融业的发展、创新与改革问题调查研究</w:t>
            </w:r>
          </w:p>
        </w:tc>
        <w:tc>
          <w:tcPr>
            <w:tcW w:w="5954"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2552" w:type="dxa"/>
            <w:vMerge w:val="restart"/>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413112223@qq.com</w:t>
            </w: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5</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粤港澳大湾区发展中小</w:t>
            </w:r>
            <w:proofErr w:type="gramStart"/>
            <w:r w:rsidRPr="002E320A">
              <w:rPr>
                <w:rFonts w:ascii="仿宋_GB2312" w:eastAsia="仿宋_GB2312" w:hAnsi="宋体" w:cs="宋体" w:hint="eastAsia"/>
                <w:color w:val="000000"/>
                <w:szCs w:val="21"/>
              </w:rPr>
              <w:t>微企业</w:t>
            </w:r>
            <w:proofErr w:type="gramEnd"/>
            <w:r w:rsidRPr="002E320A">
              <w:rPr>
                <w:rFonts w:ascii="仿宋_GB2312" w:eastAsia="仿宋_GB2312" w:hAnsi="宋体" w:cs="宋体" w:hint="eastAsia"/>
                <w:color w:val="000000"/>
                <w:szCs w:val="21"/>
              </w:rPr>
              <w:t>的实践与经验调查研究</w:t>
            </w:r>
          </w:p>
        </w:tc>
        <w:tc>
          <w:tcPr>
            <w:tcW w:w="5954"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6</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粤港澳大湾区生态环境产业发展调查分析</w:t>
            </w:r>
          </w:p>
        </w:tc>
        <w:tc>
          <w:tcPr>
            <w:tcW w:w="5954"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7</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粤港澳大湾区人文素质教育的调查研究</w:t>
            </w:r>
          </w:p>
        </w:tc>
        <w:tc>
          <w:tcPr>
            <w:tcW w:w="5954"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8</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粤港澳大湾</w:t>
            </w:r>
            <w:proofErr w:type="gramStart"/>
            <w:r w:rsidRPr="002E320A">
              <w:rPr>
                <w:rFonts w:ascii="仿宋_GB2312" w:eastAsia="仿宋_GB2312" w:hAnsi="宋体" w:cs="宋体" w:hint="eastAsia"/>
                <w:color w:val="000000"/>
                <w:szCs w:val="21"/>
              </w:rPr>
              <w:t>区大学</w:t>
            </w:r>
            <w:proofErr w:type="gramEnd"/>
            <w:r w:rsidRPr="002E320A">
              <w:rPr>
                <w:rFonts w:ascii="仿宋_GB2312" w:eastAsia="仿宋_GB2312" w:hAnsi="宋体" w:cs="宋体" w:hint="eastAsia"/>
                <w:color w:val="000000"/>
                <w:szCs w:val="21"/>
              </w:rPr>
              <w:t>教育发展、创新与改革问题调查研究</w:t>
            </w:r>
          </w:p>
        </w:tc>
        <w:tc>
          <w:tcPr>
            <w:tcW w:w="5954"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9</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大学生创新精神和实践能力培养的调查研究</w:t>
            </w:r>
          </w:p>
        </w:tc>
        <w:tc>
          <w:tcPr>
            <w:tcW w:w="5954"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10</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当代大学生的价值取向和诚信的调查研究</w:t>
            </w:r>
          </w:p>
        </w:tc>
        <w:tc>
          <w:tcPr>
            <w:tcW w:w="5954"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11</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大学生参加社会实践的意义和途径方式的调查研究</w:t>
            </w:r>
          </w:p>
        </w:tc>
        <w:tc>
          <w:tcPr>
            <w:tcW w:w="5954"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12</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中国与“一带一路”国家经济周期协动性传导研究</w:t>
            </w:r>
          </w:p>
        </w:tc>
        <w:tc>
          <w:tcPr>
            <w:tcW w:w="5954"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13</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中国经济周期非对称驱动差异性研究</w:t>
            </w:r>
          </w:p>
        </w:tc>
        <w:tc>
          <w:tcPr>
            <w:tcW w:w="5954"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14</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粤港澳大湾区金融业的发展、创新与改革问题调查研究</w:t>
            </w:r>
          </w:p>
        </w:tc>
        <w:tc>
          <w:tcPr>
            <w:tcW w:w="5954"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705"/>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15</w:t>
            </w:r>
          </w:p>
        </w:tc>
        <w:tc>
          <w:tcPr>
            <w:tcW w:w="1275" w:type="dxa"/>
            <w:vMerge w:val="restart"/>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彭求实</w:t>
            </w: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各种因素对消费需求的影响分析</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根据一些年份的居民消费支出数据，综合考虑影响消费的主要因素，如收入、利率、及一些不确定因素，以此来研究居民的消费行为。可考虑用主成分分析法或其它方法。</w:t>
            </w:r>
          </w:p>
        </w:tc>
        <w:tc>
          <w:tcPr>
            <w:tcW w:w="2552" w:type="dxa"/>
            <w:vMerge w:val="restart"/>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B4516E">
              <w:rPr>
                <w:rFonts w:ascii="仿宋_GB2312" w:eastAsia="仿宋_GB2312" w:hAnsi="宋体" w:cs="宋体"/>
                <w:color w:val="000000"/>
                <w:szCs w:val="21"/>
              </w:rPr>
              <w:t>pqs123198@sina.com</w:t>
            </w: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16</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某种食品市场价格变化的因素分析</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可对当前经济现象进行数据分析。</w:t>
            </w: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17</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某类商品（或服务）客户流失的数据分析</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这属于数据挖掘的范畴。</w:t>
            </w: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18</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产品寿命数据的研究分析</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某些产品（如电子产品）的寿命数据服从特殊的分布，以此来研究其规律。比如可以分析那些异常大或异常小的数据，然后去掉它们。</w:t>
            </w: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19</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城市人才吸引度模型研究及指标分析</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影响一个城市人才吸引力的因素很多，每个城市或地区相应的条件存在差异，量化地分析各个因素对人才吸引力水平影响的大小，建立一个指标，对几个城市做数据分析。</w:t>
            </w: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20</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产品失效率鉴定试验的贝叶斯方法</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这需要一些概率统计的专业知识，了解贝叶斯方法的由来。</w:t>
            </w: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lastRenderedPageBreak/>
              <w:t>21</w:t>
            </w:r>
          </w:p>
        </w:tc>
        <w:tc>
          <w:tcPr>
            <w:tcW w:w="1275" w:type="dxa"/>
            <w:vMerge w:val="restart"/>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roofErr w:type="gramStart"/>
            <w:r w:rsidRPr="002E320A">
              <w:rPr>
                <w:rFonts w:ascii="仿宋_GB2312" w:eastAsia="仿宋_GB2312" w:hAnsi="宋体" w:cs="宋体" w:hint="eastAsia"/>
                <w:color w:val="000000"/>
                <w:szCs w:val="21"/>
              </w:rPr>
              <w:t>孔荫莹</w:t>
            </w:r>
            <w:proofErr w:type="gramEnd"/>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粤港澳大湾区</w:t>
            </w:r>
            <w:r>
              <w:rPr>
                <w:rFonts w:ascii="仿宋_GB2312" w:eastAsia="仿宋_GB2312" w:hAnsi="宋体" w:cs="宋体" w:hint="eastAsia"/>
                <w:color w:val="000000"/>
                <w:szCs w:val="21"/>
              </w:rPr>
              <w:t>/深圳先行示范区</w:t>
            </w:r>
            <w:r w:rsidRPr="002E320A">
              <w:rPr>
                <w:rFonts w:ascii="仿宋_GB2312" w:eastAsia="仿宋_GB2312" w:hAnsi="宋体" w:cs="宋体" w:hint="eastAsia"/>
                <w:color w:val="000000"/>
                <w:szCs w:val="21"/>
              </w:rPr>
              <w:t>（上市企业）高质量发展指数的构建研究</w:t>
            </w:r>
          </w:p>
        </w:tc>
        <w:tc>
          <w:tcPr>
            <w:tcW w:w="5954" w:type="dxa"/>
            <w:vMerge w:val="restart"/>
            <w:noWrap/>
            <w:vAlign w:val="center"/>
            <w:hideMark/>
          </w:tcPr>
          <w:p w:rsidR="00AD68F0"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要求：</w:t>
            </w:r>
          </w:p>
          <w:p w:rsidR="00AD68F0"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1.有奉献精神和团队精神；</w:t>
            </w:r>
          </w:p>
          <w:p w:rsidR="00AD68F0"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2.自主学习能力（数据处理）；</w:t>
            </w:r>
          </w:p>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3.团队中至少有一名懂数学模型。</w:t>
            </w:r>
          </w:p>
        </w:tc>
        <w:tc>
          <w:tcPr>
            <w:tcW w:w="2552" w:type="dxa"/>
            <w:vMerge w:val="restart"/>
            <w:noWrap/>
            <w:vAlign w:val="center"/>
          </w:tcPr>
          <w:p w:rsidR="00AD68F0" w:rsidRPr="002E320A" w:rsidRDefault="00AD68F0" w:rsidP="0072553F">
            <w:pPr>
              <w:spacing w:line="300" w:lineRule="exact"/>
              <w:rPr>
                <w:rFonts w:ascii="仿宋_GB2312" w:eastAsia="仿宋_GB2312" w:hAnsi="宋体" w:cs="宋体"/>
                <w:color w:val="000000"/>
                <w:szCs w:val="21"/>
              </w:rPr>
            </w:pPr>
            <w:r w:rsidRPr="002E320A">
              <w:rPr>
                <w:rFonts w:ascii="仿宋_GB2312" w:eastAsia="仿宋_GB2312" w:hAnsi="宋体" w:cs="宋体" w:hint="eastAsia"/>
                <w:color w:val="000000"/>
                <w:szCs w:val="21"/>
              </w:rPr>
              <w:t>微信：13751781911</w:t>
            </w: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22</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粤港澳大湾区</w:t>
            </w:r>
            <w:r>
              <w:rPr>
                <w:rFonts w:ascii="仿宋_GB2312" w:eastAsia="仿宋_GB2312" w:hAnsi="宋体" w:cs="宋体" w:hint="eastAsia"/>
                <w:color w:val="000000"/>
                <w:szCs w:val="21"/>
              </w:rPr>
              <w:t>/深圳先行示范区</w:t>
            </w:r>
            <w:r w:rsidRPr="002E320A">
              <w:rPr>
                <w:rFonts w:ascii="仿宋_GB2312" w:eastAsia="仿宋_GB2312" w:hAnsi="宋体" w:cs="宋体" w:hint="eastAsia"/>
                <w:color w:val="000000"/>
                <w:szCs w:val="21"/>
              </w:rPr>
              <w:t>（上市企业）创新指数的构建研究</w:t>
            </w:r>
          </w:p>
        </w:tc>
        <w:tc>
          <w:tcPr>
            <w:tcW w:w="5954" w:type="dxa"/>
            <w:vMerge/>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23</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大数据背景下广东省价格监督检查与反垄断文本排查分析研究</w:t>
            </w:r>
          </w:p>
        </w:tc>
        <w:tc>
          <w:tcPr>
            <w:tcW w:w="5954" w:type="dxa"/>
            <w:vMerge/>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24</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大数据背景下广东省价格监督检查与反垄断数据库的构建</w:t>
            </w:r>
          </w:p>
        </w:tc>
        <w:tc>
          <w:tcPr>
            <w:tcW w:w="5954" w:type="dxa"/>
            <w:vMerge/>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25</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中国与美国\欧洲反垄断执法的异同</w:t>
            </w:r>
          </w:p>
        </w:tc>
        <w:tc>
          <w:tcPr>
            <w:tcW w:w="5954" w:type="dxa"/>
            <w:vMerge/>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26</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粤港澳大湾区</w:t>
            </w:r>
            <w:proofErr w:type="gramStart"/>
            <w:r w:rsidRPr="002E320A">
              <w:rPr>
                <w:rFonts w:ascii="仿宋_GB2312" w:eastAsia="仿宋_GB2312" w:hAnsi="宋体" w:cs="宋体" w:hint="eastAsia"/>
                <w:color w:val="000000"/>
                <w:szCs w:val="21"/>
              </w:rPr>
              <w:t>科创板企业</w:t>
            </w:r>
            <w:proofErr w:type="gramEnd"/>
            <w:r w:rsidRPr="002E320A">
              <w:rPr>
                <w:rFonts w:ascii="仿宋_GB2312" w:eastAsia="仿宋_GB2312" w:hAnsi="宋体" w:cs="宋体" w:hint="eastAsia"/>
                <w:color w:val="000000"/>
                <w:szCs w:val="21"/>
              </w:rPr>
              <w:t>的风险防范</w:t>
            </w:r>
          </w:p>
        </w:tc>
        <w:tc>
          <w:tcPr>
            <w:tcW w:w="5954" w:type="dxa"/>
            <w:vMerge/>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27</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地区审计治理指数的构建研究</w:t>
            </w:r>
          </w:p>
        </w:tc>
        <w:tc>
          <w:tcPr>
            <w:tcW w:w="5954" w:type="dxa"/>
            <w:vMerge/>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28</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roofErr w:type="gramStart"/>
            <w:r w:rsidRPr="002E320A">
              <w:rPr>
                <w:rFonts w:ascii="仿宋_GB2312" w:eastAsia="仿宋_GB2312" w:hAnsi="宋体" w:cs="宋体" w:hint="eastAsia"/>
                <w:color w:val="000000"/>
                <w:szCs w:val="21"/>
              </w:rPr>
              <w:t>探索区</w:t>
            </w:r>
            <w:proofErr w:type="gramEnd"/>
            <w:r w:rsidRPr="002E320A">
              <w:rPr>
                <w:rFonts w:ascii="仿宋_GB2312" w:eastAsia="仿宋_GB2312" w:hAnsi="宋体" w:cs="宋体" w:hint="eastAsia"/>
                <w:color w:val="000000"/>
                <w:szCs w:val="21"/>
              </w:rPr>
              <w:t>块链技术在会计的应用</w:t>
            </w:r>
          </w:p>
        </w:tc>
        <w:tc>
          <w:tcPr>
            <w:tcW w:w="5954" w:type="dxa"/>
            <w:vMerge/>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29</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roofErr w:type="gramStart"/>
            <w:r w:rsidRPr="002E320A">
              <w:rPr>
                <w:rFonts w:ascii="仿宋_GB2312" w:eastAsia="仿宋_GB2312" w:hAnsi="宋体" w:cs="宋体" w:hint="eastAsia"/>
                <w:color w:val="000000"/>
                <w:szCs w:val="21"/>
              </w:rPr>
              <w:t>探索区</w:t>
            </w:r>
            <w:proofErr w:type="gramEnd"/>
            <w:r w:rsidRPr="002E320A">
              <w:rPr>
                <w:rFonts w:ascii="仿宋_GB2312" w:eastAsia="仿宋_GB2312" w:hAnsi="宋体" w:cs="宋体" w:hint="eastAsia"/>
                <w:color w:val="000000"/>
                <w:szCs w:val="21"/>
              </w:rPr>
              <w:t>块链技术在财务管理的应用</w:t>
            </w:r>
          </w:p>
        </w:tc>
        <w:tc>
          <w:tcPr>
            <w:tcW w:w="5954" w:type="dxa"/>
            <w:vMerge/>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30</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中国财经类院校综合排名研究</w:t>
            </w:r>
          </w:p>
        </w:tc>
        <w:tc>
          <w:tcPr>
            <w:tcW w:w="5954" w:type="dxa"/>
            <w:vMerge/>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31</w:t>
            </w:r>
          </w:p>
        </w:tc>
        <w:tc>
          <w:tcPr>
            <w:tcW w:w="1275" w:type="dxa"/>
            <w:vMerge w:val="restart"/>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王志</w:t>
            </w:r>
            <w:proofErr w:type="gramStart"/>
            <w:r w:rsidRPr="002E320A">
              <w:rPr>
                <w:rFonts w:ascii="仿宋_GB2312" w:eastAsia="仿宋_GB2312" w:hAnsi="宋体" w:cs="宋体" w:hint="eastAsia"/>
                <w:color w:val="000000"/>
                <w:szCs w:val="21"/>
              </w:rPr>
              <w:t>坚</w:t>
            </w:r>
            <w:proofErr w:type="gramEnd"/>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全面二孩政策背景下计划生育困难家庭帮扶对策研究——以广东省广州市为例</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restart"/>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32680822@qq.com</w:t>
            </w: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32</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新时代我国企业和谐劳动关系现状及影响因素分析——以广东省佛山市制造业企业为例</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33</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一元线性回归模型的稳健估计方法研究</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34</w:t>
            </w:r>
          </w:p>
        </w:tc>
        <w:tc>
          <w:tcPr>
            <w:tcW w:w="1275" w:type="dxa"/>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黎中彦</w:t>
            </w: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中国人口老龄化对潜在经济增长率的影响研究</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375821682@qq.com</w:t>
            </w: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35</w:t>
            </w:r>
          </w:p>
        </w:tc>
        <w:tc>
          <w:tcPr>
            <w:tcW w:w="1275" w:type="dxa"/>
            <w:vMerge w:val="restart"/>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roofErr w:type="gramStart"/>
            <w:r w:rsidRPr="002E320A">
              <w:rPr>
                <w:rFonts w:ascii="仿宋_GB2312" w:eastAsia="仿宋_GB2312" w:hAnsi="宋体" w:cs="宋体" w:hint="eastAsia"/>
                <w:color w:val="000000"/>
                <w:szCs w:val="21"/>
              </w:rPr>
              <w:t>黄梅华</w:t>
            </w:r>
            <w:proofErr w:type="gramEnd"/>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Schr</w:t>
            </w:r>
            <w:r w:rsidRPr="002E320A">
              <w:rPr>
                <w:rFonts w:ascii="仿宋_GB2312" w:eastAsia="仿宋_GB2312" w:hAnsi="宋体" w:cs="宋体" w:hint="eastAsia"/>
                <w:color w:val="000000"/>
                <w:szCs w:val="21"/>
              </w:rPr>
              <w:t>ö</w:t>
            </w:r>
            <w:r w:rsidRPr="002E320A">
              <w:rPr>
                <w:rFonts w:ascii="仿宋_GB2312" w:eastAsia="仿宋_GB2312" w:hAnsi="宋体" w:cs="宋体" w:hint="eastAsia"/>
                <w:color w:val="000000"/>
                <w:szCs w:val="21"/>
              </w:rPr>
              <w:t>dinger 方程孤子解的研究</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restart"/>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280599024@qq.com</w:t>
            </w: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36</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一类捕食模型的定性分析</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37</w:t>
            </w:r>
          </w:p>
        </w:tc>
        <w:tc>
          <w:tcPr>
            <w:tcW w:w="1275" w:type="dxa"/>
            <w:vMerge w:val="restart"/>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刘卫国</w:t>
            </w: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Markov链在公交车站规模设置中的应用</w:t>
            </w:r>
          </w:p>
        </w:tc>
        <w:tc>
          <w:tcPr>
            <w:tcW w:w="5954"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restart"/>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18924257590@qq.com</w:t>
            </w: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38</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根据Markov链的极限性质分析公交车的调度问题</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39</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从Markov链的群体消失模型分析我国的计划生育政策</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40</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我国人口结构变化的Markov链模型分析</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41</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从Markov</w:t>
            </w:r>
            <w:proofErr w:type="gramStart"/>
            <w:r w:rsidRPr="002E320A">
              <w:rPr>
                <w:rFonts w:ascii="仿宋_GB2312" w:eastAsia="仿宋_GB2312" w:hAnsi="宋体" w:cs="宋体" w:hint="eastAsia"/>
                <w:color w:val="000000"/>
                <w:szCs w:val="21"/>
              </w:rPr>
              <w:t>链角度</w:t>
            </w:r>
            <w:proofErr w:type="gramEnd"/>
            <w:r w:rsidRPr="002E320A">
              <w:rPr>
                <w:rFonts w:ascii="仿宋_GB2312" w:eastAsia="仿宋_GB2312" w:hAnsi="宋体" w:cs="宋体" w:hint="eastAsia"/>
                <w:color w:val="000000"/>
                <w:szCs w:val="21"/>
              </w:rPr>
              <w:t>分析广告效益</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42</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基于Markov链的中国未来人口数量变化的趋势研究</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43</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基于Markov链的群体消失</w:t>
            </w:r>
            <w:proofErr w:type="gramStart"/>
            <w:r w:rsidRPr="002E320A">
              <w:rPr>
                <w:rFonts w:ascii="仿宋_GB2312" w:eastAsia="仿宋_GB2312" w:hAnsi="宋体" w:cs="宋体" w:hint="eastAsia"/>
                <w:color w:val="000000"/>
                <w:szCs w:val="21"/>
              </w:rPr>
              <w:t>模型谈</w:t>
            </w:r>
            <w:proofErr w:type="gramEnd"/>
            <w:r w:rsidRPr="002E320A">
              <w:rPr>
                <w:rFonts w:ascii="仿宋_GB2312" w:eastAsia="仿宋_GB2312" w:hAnsi="宋体" w:cs="宋体" w:hint="eastAsia"/>
                <w:color w:val="000000"/>
                <w:szCs w:val="21"/>
              </w:rPr>
              <w:t>中国计划生育政策</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lastRenderedPageBreak/>
              <w:t>44</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基于Markov链的人口结构变化</w:t>
            </w:r>
            <w:proofErr w:type="gramStart"/>
            <w:r w:rsidRPr="002E320A">
              <w:rPr>
                <w:rFonts w:ascii="仿宋_GB2312" w:eastAsia="仿宋_GB2312" w:hAnsi="宋体" w:cs="宋体" w:hint="eastAsia"/>
                <w:color w:val="000000"/>
                <w:szCs w:val="21"/>
              </w:rPr>
              <w:t>模型谈</w:t>
            </w:r>
            <w:proofErr w:type="gramEnd"/>
            <w:r w:rsidRPr="002E320A">
              <w:rPr>
                <w:rFonts w:ascii="仿宋_GB2312" w:eastAsia="仿宋_GB2312" w:hAnsi="宋体" w:cs="宋体" w:hint="eastAsia"/>
                <w:color w:val="000000"/>
                <w:szCs w:val="21"/>
              </w:rPr>
              <w:t>中国人才培养</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45</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基于Markov链的中国未来人口结构变化的趋势研究</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46</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复合Poisson过程在短期集体风险模型中的简单应用</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47</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Poisson过程在排队论中的应用</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48</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基于Poisson盈余过程的破产概率最小化研究</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restart"/>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49</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基于Poisson盈余过程的盈余最大化研究</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50</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布朗运动在证券市场中的应用——以股票的期权定价问题为例</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51</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基于Markov</w:t>
            </w:r>
            <w:proofErr w:type="gramStart"/>
            <w:r w:rsidRPr="002E320A">
              <w:rPr>
                <w:rFonts w:ascii="仿宋_GB2312" w:eastAsia="仿宋_GB2312" w:hAnsi="宋体" w:cs="宋体" w:hint="eastAsia"/>
                <w:color w:val="000000"/>
                <w:szCs w:val="21"/>
              </w:rPr>
              <w:t>链方法</w:t>
            </w:r>
            <w:proofErr w:type="gramEnd"/>
            <w:r w:rsidRPr="002E320A">
              <w:rPr>
                <w:rFonts w:ascii="仿宋_GB2312" w:eastAsia="仿宋_GB2312" w:hAnsi="宋体" w:cs="宋体" w:hint="eastAsia"/>
                <w:color w:val="000000"/>
                <w:szCs w:val="21"/>
              </w:rPr>
              <w:t>的销售策略研究</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52</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排队论在服务系统中的应用研究</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53</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随机微分方程在期权定价中的应用研究</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1194"/>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54</w:t>
            </w:r>
          </w:p>
        </w:tc>
        <w:tc>
          <w:tcPr>
            <w:tcW w:w="1275" w:type="dxa"/>
            <w:vMerge w:val="restart"/>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陈建超</w:t>
            </w: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行业竞争力若干关键维度的大数据统计分析——以化妆品行业为例</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通过网页爬虫，获取化妆品行业的互联网大数据，对行业内若干重点企业相互之间在空间分布、年龄分布、性别分布、档次分布等方面进行统计对比分析，并进行综合评价</w:t>
            </w:r>
          </w:p>
        </w:tc>
        <w:tc>
          <w:tcPr>
            <w:tcW w:w="2552" w:type="dxa"/>
            <w:vMerge w:val="restart"/>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cjcat126@126.com</w:t>
            </w:r>
          </w:p>
        </w:tc>
      </w:tr>
      <w:tr w:rsidR="00AD68F0" w:rsidRPr="002E320A" w:rsidTr="0072553F">
        <w:trPr>
          <w:trHeight w:val="1551"/>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55</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基于智能算法的装箱优化研究——以某特定企业的实际数据为例</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把不同规格的小箱装进大箱是一个经典的优化问题，但目前仍没有很好的办法。在物流业快速发展的今天，解决这个问题的意义非常大。根据老师提供的某特定企业的装箱需求数据，采用合适的智能优化算法，研究设计更好的装箱方案。</w:t>
            </w: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746"/>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56</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数学建模竞赛对大学生发展影响的调查研究——以广东财经大学为例</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设计问卷，抽样调查，统计分析数学建模竞赛对我校大学生在就业、深造等方面的影响。</w:t>
            </w: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854"/>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57</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广东财经大学本科教育满意度调查研究</w:t>
            </w:r>
          </w:p>
        </w:tc>
        <w:tc>
          <w:tcPr>
            <w:tcW w:w="5954"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设计问卷，抽样调查，统计分析我校不同群体对本校本科教育的满意度，分析内在原因。</w:t>
            </w: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1402"/>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lastRenderedPageBreak/>
              <w:t>58</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基于移动平台的毕业论文选题与指导一体化系统的设计与实现</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毕业论文工作包括了老师出题，学生选题，学生做题，老师指导，定稿，答辩等一系列规范化要求很高的环节，目前这方面的管理不够理想。设计一个基于移动平台（</w:t>
            </w:r>
            <w:proofErr w:type="gramStart"/>
            <w:r w:rsidRPr="002E320A">
              <w:rPr>
                <w:rFonts w:ascii="仿宋_GB2312" w:eastAsia="仿宋_GB2312" w:hAnsi="宋体" w:cs="宋体" w:hint="eastAsia"/>
                <w:color w:val="000000"/>
                <w:szCs w:val="21"/>
              </w:rPr>
              <w:t>微信或</w:t>
            </w:r>
            <w:proofErr w:type="gramEnd"/>
            <w:r w:rsidRPr="002E320A">
              <w:rPr>
                <w:rFonts w:ascii="仿宋_GB2312" w:eastAsia="仿宋_GB2312" w:hAnsi="宋体" w:cs="宋体" w:hint="eastAsia"/>
                <w:color w:val="000000"/>
                <w:szCs w:val="21"/>
              </w:rPr>
              <w:t>APP）的一体化系统，从出题、选题，到指导过程，能进行一体化的跟踪管理。</w:t>
            </w: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767"/>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59</w:t>
            </w:r>
          </w:p>
        </w:tc>
        <w:tc>
          <w:tcPr>
            <w:tcW w:w="1275" w:type="dxa"/>
            <w:vMerge w:val="restart"/>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蔡佳</w:t>
            </w: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协方差和相关系数在数据分析中的比较研究</w:t>
            </w:r>
          </w:p>
        </w:tc>
        <w:tc>
          <w:tcPr>
            <w:tcW w:w="5954"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协方差和相关系数都是刻画数据特征的重要指标，本课题对两者在数据分析中的应用进行比较。</w:t>
            </w:r>
          </w:p>
        </w:tc>
        <w:tc>
          <w:tcPr>
            <w:tcW w:w="2552" w:type="dxa"/>
            <w:vMerge w:val="restart"/>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305401528@qq.com</w:t>
            </w:r>
          </w:p>
        </w:tc>
      </w:tr>
      <w:tr w:rsidR="00AD68F0" w:rsidRPr="002E320A" w:rsidTr="0072553F">
        <w:trPr>
          <w:trHeight w:val="1285"/>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60</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偏相关分析在数据特征分析中的若干研究</w:t>
            </w:r>
          </w:p>
        </w:tc>
        <w:tc>
          <w:tcPr>
            <w:tcW w:w="5954"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在数据相关性的研究中，两组变量都可能与第三组变量有关，为便于研究两组数据间的关系，常常去除第三组变量的影响，该方法称之为偏相关。本课题研究偏相关的若干性质及其在数据分析中的应用。</w:t>
            </w: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1421"/>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61</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典型相关分析在多变量分析中的应用</w:t>
            </w:r>
          </w:p>
        </w:tc>
        <w:tc>
          <w:tcPr>
            <w:tcW w:w="5954"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典型相关分析是研究多变量数据特征的重要工具，它基于皮尔逊相关，是利用综合变量对之间的相关关系来反映两组指标之间的整体相关性的多元统计分析方法。本课题研究该方法在处理数据中的应用。</w:t>
            </w: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62</w:t>
            </w:r>
          </w:p>
        </w:tc>
        <w:tc>
          <w:tcPr>
            <w:tcW w:w="1275" w:type="dxa"/>
            <w:vMerge w:val="restart"/>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刘娟</w:t>
            </w: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新能源市场CAPM模型的应用研究</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restart"/>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liu6juan6@126.com</w:t>
            </w: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63</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一类稀疏风险模型的红利函数及随机模拟</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64</w:t>
            </w:r>
          </w:p>
        </w:tc>
        <w:tc>
          <w:tcPr>
            <w:tcW w:w="1275" w:type="dxa"/>
            <w:vMerge w:val="restart"/>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叶伟杰</w:t>
            </w: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基于深度学习的X光片图像分割与肺结核早期诊断</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restart"/>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ywjmath@gdufe.edu.cn</w:t>
            </w:r>
          </w:p>
        </w:tc>
      </w:tr>
      <w:tr w:rsidR="00AD68F0" w:rsidRPr="002E320A" w:rsidTr="0072553F">
        <w:trPr>
          <w:trHeight w:val="300"/>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65</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基于深度学习的肺癌早期诊断</w:t>
            </w:r>
          </w:p>
        </w:tc>
        <w:tc>
          <w:tcPr>
            <w:tcW w:w="5954"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1533"/>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66</w:t>
            </w:r>
          </w:p>
        </w:tc>
        <w:tc>
          <w:tcPr>
            <w:tcW w:w="1275" w:type="dxa"/>
            <w:vMerge w:val="restart"/>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温雅敏</w:t>
            </w:r>
          </w:p>
        </w:tc>
        <w:tc>
          <w:tcPr>
            <w:tcW w:w="4962" w:type="dxa"/>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基于</w:t>
            </w:r>
            <w:proofErr w:type="spellStart"/>
            <w:r w:rsidRPr="002E320A">
              <w:rPr>
                <w:rFonts w:ascii="仿宋_GB2312" w:eastAsia="仿宋_GB2312" w:hAnsi="宋体" w:cs="宋体" w:hint="eastAsia"/>
                <w:color w:val="000000"/>
                <w:szCs w:val="21"/>
              </w:rPr>
              <w:t>Diffie</w:t>
            </w:r>
            <w:proofErr w:type="spellEnd"/>
            <w:r w:rsidRPr="002E320A">
              <w:rPr>
                <w:rFonts w:ascii="仿宋_GB2312" w:eastAsia="仿宋_GB2312" w:hAnsi="宋体" w:cs="宋体" w:hint="eastAsia"/>
                <w:color w:val="000000"/>
                <w:szCs w:val="21"/>
              </w:rPr>
              <w:t>-Hellman密钥协商实现的两方交互认证协议研究</w:t>
            </w:r>
          </w:p>
        </w:tc>
        <w:tc>
          <w:tcPr>
            <w:tcW w:w="5954" w:type="dxa"/>
            <w:vAlign w:val="center"/>
            <w:hideMark/>
          </w:tcPr>
          <w:p w:rsidR="00AD68F0"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1.查询中英文资料，掌握</w:t>
            </w:r>
            <w:proofErr w:type="spellStart"/>
            <w:r w:rsidRPr="002E320A">
              <w:rPr>
                <w:rFonts w:ascii="仿宋_GB2312" w:eastAsia="仿宋_GB2312" w:hAnsi="宋体" w:cs="宋体" w:hint="eastAsia"/>
                <w:color w:val="000000"/>
                <w:szCs w:val="21"/>
              </w:rPr>
              <w:t>Diffie</w:t>
            </w:r>
            <w:proofErr w:type="spellEnd"/>
            <w:r w:rsidRPr="002E320A">
              <w:rPr>
                <w:rFonts w:ascii="仿宋_GB2312" w:eastAsia="仿宋_GB2312" w:hAnsi="宋体" w:cs="宋体" w:hint="eastAsia"/>
                <w:color w:val="000000"/>
                <w:szCs w:val="21"/>
              </w:rPr>
              <w:t>-Hellman密钥协商的基本原理；</w:t>
            </w:r>
          </w:p>
          <w:p w:rsidR="00AD68F0"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2.分析总结基于伪名实现的两方交互认证协议的研究现状；</w:t>
            </w:r>
          </w:p>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3.对一种基于身份（伪名）的两方交互认证协议给出具体实现。</w:t>
            </w:r>
          </w:p>
        </w:tc>
        <w:tc>
          <w:tcPr>
            <w:tcW w:w="2552" w:type="dxa"/>
            <w:vMerge w:val="restart"/>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3512152@qq.com</w:t>
            </w:r>
          </w:p>
        </w:tc>
      </w:tr>
      <w:tr w:rsidR="00AD68F0" w:rsidRPr="002E320A" w:rsidTr="0072553F">
        <w:trPr>
          <w:trHeight w:val="1827"/>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lastRenderedPageBreak/>
              <w:t>67</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基于OSBE实现的隐私保护信息传输协议研究</w:t>
            </w:r>
          </w:p>
        </w:tc>
        <w:tc>
          <w:tcPr>
            <w:tcW w:w="5954" w:type="dxa"/>
            <w:vAlign w:val="center"/>
            <w:hideMark/>
          </w:tcPr>
          <w:p w:rsidR="00AD68F0"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1.基于不经意签名的信封（Oblivious Signature Based Envelope）；</w:t>
            </w:r>
          </w:p>
          <w:p w:rsidR="00AD68F0"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2.查询中英文资料，掌握隐私保护信息传输协议的技术原理；</w:t>
            </w:r>
          </w:p>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3.对基于OSBE实现的隐私保护信息传输协议给出具体实现。</w:t>
            </w: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r w:rsidR="00AD68F0" w:rsidRPr="002E320A" w:rsidTr="0072553F">
        <w:trPr>
          <w:trHeight w:val="2263"/>
        </w:trPr>
        <w:tc>
          <w:tcPr>
            <w:tcW w:w="710" w:type="dxa"/>
            <w:noWrap/>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r w:rsidRPr="002E320A">
              <w:rPr>
                <w:rFonts w:ascii="仿宋_GB2312" w:eastAsia="仿宋_GB2312" w:hAnsi="宋体" w:cs="宋体" w:hint="eastAsia"/>
                <w:color w:val="000000"/>
                <w:szCs w:val="21"/>
              </w:rPr>
              <w:t>68</w:t>
            </w:r>
          </w:p>
        </w:tc>
        <w:tc>
          <w:tcPr>
            <w:tcW w:w="1275"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c>
          <w:tcPr>
            <w:tcW w:w="4962" w:type="dxa"/>
            <w:noWrap/>
            <w:vAlign w:val="center"/>
            <w:hideMark/>
          </w:tcPr>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支持交集策略的秘密双向认证协议的设计</w:t>
            </w:r>
          </w:p>
        </w:tc>
        <w:tc>
          <w:tcPr>
            <w:tcW w:w="5954" w:type="dxa"/>
            <w:vAlign w:val="center"/>
            <w:hideMark/>
          </w:tcPr>
          <w:p w:rsidR="00AD68F0"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1.掌握秘密双向认证协议（Private Mutual Authentication）的基本原理；</w:t>
            </w:r>
          </w:p>
          <w:p w:rsidR="00AD68F0"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 xml:space="preserve">2.查询中英文资料，掌握基于身份的加密（Identity-Based Encryption，IBE）以及授权的秘密集合交集（Authorized Private Set </w:t>
            </w:r>
            <w:proofErr w:type="spellStart"/>
            <w:r w:rsidRPr="002E320A">
              <w:rPr>
                <w:rFonts w:ascii="仿宋_GB2312" w:eastAsia="仿宋_GB2312" w:hAnsi="宋体" w:cs="宋体" w:hint="eastAsia"/>
                <w:color w:val="000000"/>
                <w:szCs w:val="21"/>
              </w:rPr>
              <w:t>Intersection,APSI</w:t>
            </w:r>
            <w:proofErr w:type="spellEnd"/>
            <w:r w:rsidRPr="002E320A">
              <w:rPr>
                <w:rFonts w:ascii="仿宋_GB2312" w:eastAsia="仿宋_GB2312" w:hAnsi="宋体" w:cs="宋体" w:hint="eastAsia"/>
                <w:color w:val="000000"/>
                <w:szCs w:val="21"/>
              </w:rPr>
              <w:t>）技术原理；</w:t>
            </w:r>
          </w:p>
          <w:p w:rsidR="00AD68F0" w:rsidRPr="002E320A" w:rsidRDefault="00AD68F0" w:rsidP="0072553F">
            <w:pPr>
              <w:spacing w:line="300" w:lineRule="exact"/>
              <w:jc w:val="left"/>
              <w:rPr>
                <w:rFonts w:ascii="仿宋_GB2312" w:eastAsia="仿宋_GB2312" w:hAnsi="宋体" w:cs="宋体"/>
                <w:color w:val="000000"/>
                <w:szCs w:val="21"/>
              </w:rPr>
            </w:pPr>
            <w:r w:rsidRPr="002E320A">
              <w:rPr>
                <w:rFonts w:ascii="仿宋_GB2312" w:eastAsia="仿宋_GB2312" w:hAnsi="宋体" w:cs="宋体" w:hint="eastAsia"/>
                <w:color w:val="000000"/>
                <w:szCs w:val="21"/>
              </w:rPr>
              <w:t>3.对基于IBE和APSI实现的秘密双向认证协议给出支持交集策略的设计。</w:t>
            </w:r>
          </w:p>
        </w:tc>
        <w:tc>
          <w:tcPr>
            <w:tcW w:w="2552" w:type="dxa"/>
            <w:vMerge/>
            <w:vAlign w:val="center"/>
            <w:hideMark/>
          </w:tcPr>
          <w:p w:rsidR="00AD68F0" w:rsidRPr="002E320A" w:rsidRDefault="00AD68F0" w:rsidP="0072553F">
            <w:pPr>
              <w:spacing w:line="300" w:lineRule="exact"/>
              <w:jc w:val="center"/>
              <w:rPr>
                <w:rFonts w:ascii="仿宋_GB2312" w:eastAsia="仿宋_GB2312" w:hAnsi="宋体" w:cs="宋体"/>
                <w:color w:val="000000"/>
                <w:szCs w:val="21"/>
              </w:rPr>
            </w:pPr>
          </w:p>
        </w:tc>
      </w:tr>
    </w:tbl>
    <w:p w:rsidR="00AD68F0" w:rsidRPr="00B4516E" w:rsidRDefault="00AD68F0" w:rsidP="00AD68F0">
      <w:pPr>
        <w:jc w:val="left"/>
        <w:rPr>
          <w:rFonts w:ascii="仿宋_GB2312" w:eastAsia="仿宋_GB2312" w:hAnsi="宋体" w:cs="宋体"/>
          <w:color w:val="000000"/>
          <w:kern w:val="0"/>
          <w:szCs w:val="21"/>
        </w:rPr>
      </w:pPr>
    </w:p>
    <w:p w:rsidR="006A1252" w:rsidRPr="00AD68F0" w:rsidRDefault="006A1252">
      <w:bookmarkStart w:id="0" w:name="_GoBack"/>
      <w:bookmarkEnd w:id="0"/>
    </w:p>
    <w:sectPr w:rsidR="006A1252" w:rsidRPr="00AD68F0" w:rsidSect="009109B2">
      <w:pgSz w:w="16838" w:h="11906" w:orient="landscape"/>
      <w:pgMar w:top="1418" w:right="1418" w:bottom="1418"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8F0"/>
    <w:rsid w:val="006A1252"/>
    <w:rsid w:val="00AD6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8F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8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8F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529</Words>
  <Characters>3019</Characters>
  <Application>Microsoft Office Word</Application>
  <DocSecurity>0</DocSecurity>
  <Lines>25</Lines>
  <Paragraphs>7</Paragraphs>
  <ScaleCrop>false</ScaleCrop>
  <Company>Sky123.Org</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2019-09-28T08:25:00Z</dcterms:created>
  <dcterms:modified xsi:type="dcterms:W3CDTF">2019-09-28T08:26:00Z</dcterms:modified>
</cp:coreProperties>
</file>